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460" w:tblpY="346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2942"/>
        <w:gridCol w:w="1877"/>
        <w:gridCol w:w="1276"/>
        <w:gridCol w:w="4218"/>
        <w:gridCol w:w="1418"/>
        <w:gridCol w:w="1418"/>
      </w:tblGrid>
      <w:tr w:rsidR="00110AF9" w:rsidRPr="00495DD8" w:rsidTr="00EB27DF">
        <w:trPr>
          <w:trHeight w:val="708"/>
          <w:tblHeader/>
        </w:trPr>
        <w:tc>
          <w:tcPr>
            <w:tcW w:w="567" w:type="dxa"/>
            <w:vAlign w:val="center"/>
          </w:tcPr>
          <w:p w:rsidR="00110AF9" w:rsidRPr="001C4DFA" w:rsidRDefault="00110AF9" w:rsidP="00110AF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C4DFA">
              <w:rPr>
                <w:rFonts w:ascii="Tahoma" w:hAnsi="Tahoma" w:cs="Tahoma"/>
                <w:i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:rsidR="00110AF9" w:rsidRDefault="00110AF9" w:rsidP="00110AF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C4DFA">
              <w:rPr>
                <w:rFonts w:ascii="Tahoma" w:hAnsi="Tahoma" w:cs="Tahoma"/>
                <w:i/>
                <w:sz w:val="18"/>
                <w:szCs w:val="18"/>
              </w:rPr>
              <w:t xml:space="preserve">Dane wnioskodawcy </w:t>
            </w:r>
          </w:p>
          <w:p w:rsidR="00110AF9" w:rsidRPr="001C4DFA" w:rsidRDefault="00110AF9" w:rsidP="00110AF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C4DFA">
              <w:rPr>
                <w:rFonts w:ascii="Tahoma" w:hAnsi="Tahoma" w:cs="Tahoma"/>
                <w:i/>
                <w:sz w:val="18"/>
                <w:szCs w:val="18"/>
              </w:rPr>
              <w:t>(Nr sprawy)</w:t>
            </w:r>
          </w:p>
        </w:tc>
        <w:tc>
          <w:tcPr>
            <w:tcW w:w="2942" w:type="dxa"/>
            <w:vAlign w:val="center"/>
          </w:tcPr>
          <w:p w:rsidR="00110AF9" w:rsidRPr="001C4DFA" w:rsidRDefault="00110AF9" w:rsidP="00110AF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C4DFA">
              <w:rPr>
                <w:rFonts w:ascii="Tahoma" w:hAnsi="Tahoma" w:cs="Tahoma"/>
                <w:i/>
                <w:sz w:val="18"/>
                <w:szCs w:val="18"/>
              </w:rPr>
              <w:t>Zadanie</w:t>
            </w:r>
          </w:p>
        </w:tc>
        <w:tc>
          <w:tcPr>
            <w:tcW w:w="1877" w:type="dxa"/>
            <w:vAlign w:val="center"/>
          </w:tcPr>
          <w:p w:rsidR="00110AF9" w:rsidRPr="001C4DFA" w:rsidRDefault="00110AF9" w:rsidP="00110AF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C4DFA">
              <w:rPr>
                <w:rFonts w:ascii="Tahoma" w:hAnsi="Tahoma" w:cs="Tahoma"/>
                <w:i/>
                <w:sz w:val="18"/>
                <w:szCs w:val="18"/>
              </w:rPr>
              <w:t>Lokalizacja</w:t>
            </w:r>
          </w:p>
        </w:tc>
        <w:tc>
          <w:tcPr>
            <w:tcW w:w="1276" w:type="dxa"/>
            <w:vAlign w:val="center"/>
          </w:tcPr>
          <w:p w:rsidR="00110AF9" w:rsidRPr="001C4DFA" w:rsidRDefault="00110AF9" w:rsidP="00110AF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C4DFA">
              <w:rPr>
                <w:rFonts w:ascii="Tahoma" w:hAnsi="Tahoma" w:cs="Tahoma"/>
                <w:i/>
                <w:sz w:val="18"/>
                <w:szCs w:val="18"/>
              </w:rPr>
              <w:t>Szacunkowy koszt</w:t>
            </w:r>
          </w:p>
        </w:tc>
        <w:tc>
          <w:tcPr>
            <w:tcW w:w="4218" w:type="dxa"/>
            <w:vAlign w:val="center"/>
          </w:tcPr>
          <w:p w:rsidR="00110AF9" w:rsidRPr="001C4DFA" w:rsidRDefault="00110AF9" w:rsidP="00110AF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C4DFA">
              <w:rPr>
                <w:rFonts w:ascii="Tahoma" w:hAnsi="Tahoma" w:cs="Tahoma"/>
                <w:i/>
                <w:sz w:val="18"/>
                <w:szCs w:val="18"/>
              </w:rPr>
              <w:t>Możliwość realizacji zadania wskazana przez Departament</w:t>
            </w:r>
            <w:r>
              <w:rPr>
                <w:rFonts w:ascii="Tahoma" w:hAnsi="Tahoma" w:cs="Tahoma"/>
                <w:i/>
                <w:sz w:val="18"/>
                <w:szCs w:val="18"/>
              </w:rPr>
              <w:t>/Referat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10AF9" w:rsidRDefault="00110AF9" w:rsidP="00110AF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C4DFA">
              <w:rPr>
                <w:rFonts w:ascii="Tahoma" w:hAnsi="Tahoma" w:cs="Tahoma"/>
                <w:i/>
                <w:sz w:val="18"/>
                <w:szCs w:val="18"/>
              </w:rPr>
              <w:t>Stanowisko Prezydenta</w:t>
            </w:r>
          </w:p>
          <w:p w:rsidR="00110AF9" w:rsidRPr="001C4DFA" w:rsidRDefault="00110AF9" w:rsidP="00110AF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Miasta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10AF9" w:rsidRPr="001C4DFA" w:rsidRDefault="00110AF9" w:rsidP="00110AF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Komisji</w:t>
            </w:r>
          </w:p>
        </w:tc>
      </w:tr>
      <w:tr w:rsidR="007D3B28" w:rsidRPr="00CF5072" w:rsidTr="00EB27DF">
        <w:trPr>
          <w:trHeight w:val="1699"/>
        </w:trPr>
        <w:tc>
          <w:tcPr>
            <w:tcW w:w="567" w:type="dxa"/>
            <w:vAlign w:val="center"/>
          </w:tcPr>
          <w:p w:rsidR="007D3B28" w:rsidRDefault="0010180F" w:rsidP="00110A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:rsidR="007D3B28" w:rsidRPr="00CF5072" w:rsidRDefault="007D3B28" w:rsidP="0046420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DSM.3020.12.2017.UM</w:t>
            </w:r>
          </w:p>
        </w:tc>
        <w:tc>
          <w:tcPr>
            <w:tcW w:w="2942" w:type="dxa"/>
            <w:vAlign w:val="center"/>
          </w:tcPr>
          <w:p w:rsidR="007D3B28" w:rsidRPr="00CF5072" w:rsidRDefault="007D3B28" w:rsidP="0046420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Pociąg ze stacji Elbląg Zdrój do Suchacza</w:t>
            </w:r>
          </w:p>
        </w:tc>
        <w:tc>
          <w:tcPr>
            <w:tcW w:w="1877" w:type="dxa"/>
            <w:vAlign w:val="center"/>
          </w:tcPr>
          <w:p w:rsidR="007D3B28" w:rsidRPr="00CF5072" w:rsidRDefault="007D3B28" w:rsidP="0046420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Elbląg – Wysoczyzna Elbląska</w:t>
            </w:r>
          </w:p>
        </w:tc>
        <w:tc>
          <w:tcPr>
            <w:tcW w:w="1276" w:type="dxa"/>
            <w:vAlign w:val="center"/>
          </w:tcPr>
          <w:p w:rsidR="007D3B28" w:rsidRDefault="005C6C5D" w:rsidP="0046420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vAlign w:val="center"/>
          </w:tcPr>
          <w:p w:rsidR="007D3B28" w:rsidRPr="00CF5072" w:rsidRDefault="007D3B28" w:rsidP="0046420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D3B28">
              <w:rPr>
                <w:rFonts w:ascii="Tahoma" w:hAnsi="Tahoma" w:cs="Tahoma"/>
                <w:b/>
                <w:sz w:val="20"/>
                <w:szCs w:val="20"/>
              </w:rPr>
              <w:t>DGNiG</w:t>
            </w:r>
            <w:proofErr w:type="spellEnd"/>
            <w:r w:rsidRPr="007D3B28">
              <w:rPr>
                <w:rFonts w:ascii="Tahoma" w:hAnsi="Tahoma" w:cs="Tahoma"/>
                <w:b/>
                <w:sz w:val="20"/>
                <w:szCs w:val="20"/>
              </w:rPr>
              <w:t xml:space="preserve"> – negatywnie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620ABC">
              <w:rPr>
                <w:rFonts w:ascii="Tahoma" w:hAnsi="Tahoma" w:cs="Tahoma"/>
                <w:sz w:val="20"/>
                <w:szCs w:val="20"/>
              </w:rPr>
              <w:t>Prezydent Miasta nie jest organem właściwym do przywrócenia i utwor</w:t>
            </w:r>
            <w:r>
              <w:rPr>
                <w:rFonts w:ascii="Tahoma" w:hAnsi="Tahoma" w:cs="Tahoma"/>
                <w:sz w:val="20"/>
                <w:szCs w:val="20"/>
              </w:rPr>
              <w:t>zenia połączeń kolejowych. W</w:t>
            </w:r>
            <w:r w:rsidRPr="00620ABC">
              <w:rPr>
                <w:rFonts w:ascii="Tahoma" w:hAnsi="Tahoma" w:cs="Tahoma"/>
                <w:sz w:val="20"/>
                <w:szCs w:val="20"/>
              </w:rPr>
              <w:t xml:space="preserve"> kwestii remontu Dworca Elbląg Zdrój jest nieuporządkowany stan prawny.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3B28" w:rsidRPr="00CF5072" w:rsidRDefault="00033F01" w:rsidP="00110A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negatywnie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3B28" w:rsidRPr="00CF5072" w:rsidRDefault="00033F01" w:rsidP="00110A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CF5072" w:rsidRPr="00CF5072" w:rsidTr="00EB27DF">
        <w:trPr>
          <w:trHeight w:val="372"/>
        </w:trPr>
        <w:tc>
          <w:tcPr>
            <w:tcW w:w="567" w:type="dxa"/>
            <w:vMerge w:val="restart"/>
            <w:vAlign w:val="center"/>
          </w:tcPr>
          <w:p w:rsidR="00E0789D" w:rsidRPr="00CF5072" w:rsidRDefault="0010180F" w:rsidP="00110A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 w:rsidR="00E0789D" w:rsidRPr="00CF5072" w:rsidRDefault="00E0789D" w:rsidP="0046420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789D" w:rsidRPr="00CF5072" w:rsidRDefault="00E0789D" w:rsidP="0046420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DSM.3020.19.2017.UM</w:t>
            </w:r>
          </w:p>
        </w:tc>
        <w:tc>
          <w:tcPr>
            <w:tcW w:w="2942" w:type="dxa"/>
            <w:vMerge w:val="restart"/>
            <w:vAlign w:val="center"/>
          </w:tcPr>
          <w:p w:rsidR="00E0789D" w:rsidRPr="00CF5072" w:rsidRDefault="00E0789D" w:rsidP="0046420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Fontanna</w:t>
            </w:r>
          </w:p>
          <w:p w:rsidR="00E0789D" w:rsidRPr="00CF5072" w:rsidRDefault="00E0789D" w:rsidP="0046420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 xml:space="preserve">(wykonanie fontanny, wraz z małą architekturą w postaci ławek, stolików do gier) </w:t>
            </w:r>
          </w:p>
        </w:tc>
        <w:tc>
          <w:tcPr>
            <w:tcW w:w="1877" w:type="dxa"/>
            <w:vMerge w:val="restart"/>
            <w:vAlign w:val="center"/>
          </w:tcPr>
          <w:p w:rsidR="00E0789D" w:rsidRPr="00CF5072" w:rsidRDefault="00E0789D" w:rsidP="0046420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Park Modrzewie</w:t>
            </w:r>
          </w:p>
          <w:p w:rsidR="00E0789D" w:rsidRPr="00CF5072" w:rsidRDefault="00E0789D" w:rsidP="0046420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- nieopodal placu zabaw</w:t>
            </w:r>
          </w:p>
        </w:tc>
        <w:tc>
          <w:tcPr>
            <w:tcW w:w="1276" w:type="dxa"/>
            <w:vMerge w:val="restart"/>
            <w:vAlign w:val="center"/>
          </w:tcPr>
          <w:p w:rsidR="00E0789D" w:rsidRPr="00CF5072" w:rsidRDefault="005C6C5D" w:rsidP="0046420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vAlign w:val="center"/>
          </w:tcPr>
          <w:p w:rsidR="00E0789D" w:rsidRPr="00CF5072" w:rsidRDefault="00E0789D" w:rsidP="0046420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CF5072">
              <w:rPr>
                <w:rFonts w:ascii="Tahoma" w:hAnsi="Tahoma" w:cs="Tahoma"/>
                <w:sz w:val="18"/>
                <w:szCs w:val="18"/>
              </w:rPr>
              <w:t xml:space="preserve"> – nie wnosi uwag. Brak MPZP.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0789D" w:rsidRPr="00CF5072" w:rsidRDefault="00033F01" w:rsidP="00110A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0789D" w:rsidRPr="00CF5072" w:rsidRDefault="00033F01" w:rsidP="00110A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E17799" w:rsidRPr="00CF5072" w:rsidTr="00033F01">
        <w:trPr>
          <w:trHeight w:val="2578"/>
        </w:trPr>
        <w:tc>
          <w:tcPr>
            <w:tcW w:w="567" w:type="dxa"/>
            <w:vMerge/>
            <w:vAlign w:val="center"/>
          </w:tcPr>
          <w:p w:rsidR="00E17799" w:rsidRPr="00CF5072" w:rsidRDefault="00E17799" w:rsidP="00110A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vMerge/>
            <w:vAlign w:val="center"/>
          </w:tcPr>
          <w:p w:rsidR="00E17799" w:rsidRPr="00CF5072" w:rsidRDefault="00E17799" w:rsidP="0046420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E17799" w:rsidRPr="00CF5072" w:rsidRDefault="00E17799" w:rsidP="0046420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:rsidR="00E17799" w:rsidRPr="00CF5072" w:rsidRDefault="00E17799" w:rsidP="0046420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7799" w:rsidRPr="00CF5072" w:rsidRDefault="00E17799" w:rsidP="0046420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18" w:type="dxa"/>
            <w:vAlign w:val="center"/>
          </w:tcPr>
          <w:p w:rsidR="00E17799" w:rsidRPr="00CF5072" w:rsidRDefault="00E17799" w:rsidP="0036476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DI – negatywnie</w:t>
            </w:r>
            <w:r w:rsidRPr="00CF5072">
              <w:rPr>
                <w:rFonts w:ascii="Tahoma" w:hAnsi="Tahoma" w:cs="Tahoma"/>
                <w:sz w:val="18"/>
                <w:szCs w:val="18"/>
              </w:rPr>
              <w:t xml:space="preserve">. Koszty trudne do oszacowania na pewno ponad 900tys.zł. brutto. Wnioskodawca nie określił ani rodzaju fontanny, ani dokładnej lokalizacji. Budowa fontanny posadzkowej to koszt min. 500tys.zł. bez doprowadzenia wody i odprowadzenia ścieków oraz zasilania do fontanny, których to koszt </w:t>
            </w:r>
            <w:proofErr w:type="spellStart"/>
            <w:r w:rsidRPr="00CF5072">
              <w:rPr>
                <w:rFonts w:ascii="Tahoma" w:hAnsi="Tahoma" w:cs="Tahoma"/>
                <w:sz w:val="18"/>
                <w:szCs w:val="18"/>
              </w:rPr>
              <w:t>jes</w:t>
            </w:r>
            <w:proofErr w:type="spellEnd"/>
            <w:r w:rsidRPr="00CF5072">
              <w:rPr>
                <w:rFonts w:ascii="Tahoma" w:hAnsi="Tahoma" w:cs="Tahoma"/>
                <w:sz w:val="18"/>
                <w:szCs w:val="18"/>
              </w:rPr>
              <w:t xml:space="preserve"> większy niż budowa samej fontanny. W Parku Modrzewie wybudowanie takiej sieci od podstaw byłoby bardzo kosztowne. DI nie wlicza w to nawet kosztów dalszego utrzymania fontanny.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17799" w:rsidRPr="00CF5072" w:rsidRDefault="00E17799" w:rsidP="00110A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17799" w:rsidRPr="00CF5072" w:rsidRDefault="00E17799" w:rsidP="00110A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077" w:rsidRPr="00CF5072" w:rsidTr="00EE47B1">
        <w:trPr>
          <w:trHeight w:val="3818"/>
        </w:trPr>
        <w:tc>
          <w:tcPr>
            <w:tcW w:w="567" w:type="dxa"/>
            <w:vAlign w:val="center"/>
          </w:tcPr>
          <w:p w:rsidR="00852077" w:rsidRDefault="00EE47B1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852077" w:rsidRPr="00CF5072" w:rsidRDefault="00852077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DSM.3020.37.2017.UM</w:t>
            </w:r>
          </w:p>
        </w:tc>
        <w:tc>
          <w:tcPr>
            <w:tcW w:w="2942" w:type="dxa"/>
            <w:vAlign w:val="center"/>
          </w:tcPr>
          <w:p w:rsidR="00852077" w:rsidRPr="00CF5072" w:rsidRDefault="00852077" w:rsidP="00EB27D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Rewitalizacja fontanny oraz przywrócenie posągu na cokole fontanny postaci Hermana von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Balk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założyciela miasta Elbląg z jednoczesnym postawieniem wielu ławeczek wokół fontanny</w:t>
            </w:r>
          </w:p>
        </w:tc>
        <w:tc>
          <w:tcPr>
            <w:tcW w:w="1877" w:type="dxa"/>
            <w:vAlign w:val="center"/>
          </w:tcPr>
          <w:p w:rsidR="00852077" w:rsidRPr="00CF5072" w:rsidRDefault="00852077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 </w:t>
            </w:r>
            <w:r w:rsidR="00A82C71">
              <w:rPr>
                <w:rFonts w:ascii="Tahoma" w:hAnsi="Tahoma" w:cs="Tahoma"/>
                <w:sz w:val="18"/>
                <w:szCs w:val="18"/>
              </w:rPr>
              <w:t>Słowiański</w:t>
            </w:r>
          </w:p>
        </w:tc>
        <w:tc>
          <w:tcPr>
            <w:tcW w:w="1276" w:type="dxa"/>
            <w:vAlign w:val="center"/>
          </w:tcPr>
          <w:p w:rsidR="00852077" w:rsidRDefault="00852077" w:rsidP="00EB27D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18" w:type="dxa"/>
            <w:vAlign w:val="center"/>
          </w:tcPr>
          <w:p w:rsidR="00852077" w:rsidRPr="00EE47B1" w:rsidRDefault="00852077" w:rsidP="0085207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b/>
                <w:sz w:val="18"/>
                <w:szCs w:val="18"/>
              </w:rPr>
              <w:t xml:space="preserve">DUA+DI – negatywnie. </w:t>
            </w:r>
            <w:r w:rsidRPr="00EE47B1">
              <w:rPr>
                <w:rFonts w:ascii="Tahoma" w:hAnsi="Tahoma" w:cs="Tahoma"/>
                <w:sz w:val="18"/>
                <w:szCs w:val="18"/>
              </w:rPr>
              <w:t>DUA potwierdza, że Plac Słowiański wraz z fontanną stanowi ważny punkt na mapie przestrzeni publicznych Elbląga. Fontanna przy Placu Słowiańskim wraz z najbliższym otoczeniem chroniona jest zapisami prawa miejscowego, jakim jest miejscowy plan zagospodarowania przestrzennego obszaru Nowego Miasta w Elblągu.</w:t>
            </w:r>
          </w:p>
          <w:p w:rsidR="00852077" w:rsidRPr="00EE47B1" w:rsidRDefault="00852077" w:rsidP="0085207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sz w:val="18"/>
                <w:szCs w:val="18"/>
              </w:rPr>
              <w:t xml:space="preserve">Według zapisów §11 ust. 9 niniejszego planu fontanna znajduje się w granicach terenu 9.KDX – pl. Słowiański (cz. południowa), dla którego obowiązują następujące ustalenia: </w:t>
            </w:r>
          </w:p>
          <w:p w:rsidR="00852077" w:rsidRPr="00EE47B1" w:rsidRDefault="00852077" w:rsidP="0085207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sz w:val="18"/>
                <w:szCs w:val="18"/>
              </w:rPr>
              <w:t xml:space="preserve">a) przeznaczenie terenu: plac publiczny; </w:t>
            </w:r>
          </w:p>
          <w:p w:rsidR="00852077" w:rsidRPr="00EE47B1" w:rsidRDefault="00852077" w:rsidP="0085207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sz w:val="18"/>
                <w:szCs w:val="18"/>
              </w:rPr>
              <w:t xml:space="preserve">b) zasady zagospodarowania: </w:t>
            </w:r>
          </w:p>
          <w:p w:rsidR="00852077" w:rsidRPr="00EE47B1" w:rsidRDefault="00852077" w:rsidP="008520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3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sz w:val="18"/>
                <w:szCs w:val="18"/>
              </w:rPr>
              <w:t xml:space="preserve">w zagospodarowaniu zastosować następujące elementy: nawierzchnie dla ruchu pieszego, mała architektura parkowa, zieleń wysoka i niska, kwietniki, </w:t>
            </w:r>
          </w:p>
          <w:p w:rsidR="00852077" w:rsidRPr="00EE47B1" w:rsidRDefault="00852077" w:rsidP="008520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3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sz w:val="18"/>
                <w:szCs w:val="18"/>
              </w:rPr>
              <w:t xml:space="preserve">centralny element założenia placu stanowi fontanna, objęta ochroną konserwatorską dóbr kultury, </w:t>
            </w:r>
          </w:p>
          <w:p w:rsidR="00852077" w:rsidRPr="00EE47B1" w:rsidRDefault="00852077" w:rsidP="008520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3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sz w:val="18"/>
                <w:szCs w:val="18"/>
              </w:rPr>
              <w:t xml:space="preserve">wykluczony ruch i parkowanie pojazdów, </w:t>
            </w:r>
          </w:p>
          <w:p w:rsidR="00852077" w:rsidRPr="00EE47B1" w:rsidRDefault="00852077" w:rsidP="008520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3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sz w:val="18"/>
                <w:szCs w:val="18"/>
              </w:rPr>
              <w:t>dopuszcza się sezonowe zagospodarowanie w postaci ogródków gastronomicznych.</w:t>
            </w:r>
          </w:p>
          <w:p w:rsidR="00852077" w:rsidRPr="00EE47B1" w:rsidRDefault="00852077" w:rsidP="00A82C7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sz w:val="18"/>
                <w:szCs w:val="18"/>
              </w:rPr>
              <w:t xml:space="preserve">Przedsięwzięcie inwestycyjne polegające na rewitalizacji fontanny oraz przywróceniu posągu na cokole fontanny postaci Hermana von </w:t>
            </w:r>
            <w:proofErr w:type="spellStart"/>
            <w:r w:rsidRPr="00EE47B1">
              <w:rPr>
                <w:rFonts w:ascii="Tahoma" w:hAnsi="Tahoma" w:cs="Tahoma"/>
                <w:sz w:val="18"/>
                <w:szCs w:val="18"/>
              </w:rPr>
              <w:t>Balka</w:t>
            </w:r>
            <w:proofErr w:type="spellEnd"/>
            <w:r w:rsidRPr="00EE47B1">
              <w:rPr>
                <w:rFonts w:ascii="Tahoma" w:hAnsi="Tahoma" w:cs="Tahoma"/>
                <w:sz w:val="18"/>
                <w:szCs w:val="18"/>
              </w:rPr>
              <w:t xml:space="preserve"> w ocenie DUA nie jest możliwe do zrealizowania w formule budżetu obywatelskiego z uwagi na:</w:t>
            </w:r>
          </w:p>
          <w:p w:rsidR="00852077" w:rsidRPr="00ED1715" w:rsidRDefault="00ED1715" w:rsidP="00ED171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 w:rsidR="00852077" w:rsidRPr="00ED1715">
              <w:rPr>
                <w:rFonts w:ascii="Tahoma" w:hAnsi="Tahoma" w:cs="Tahoma"/>
                <w:sz w:val="18"/>
                <w:szCs w:val="18"/>
              </w:rPr>
              <w:t>konieczność wykonania ekspertyzy technicznej/konstrukcyjnej, która wykaże konieczne prace związane z koniecznością przekształcenia fontanny (wiąże się to z przeprowadzeniem postępowania na wyłonienie wykonawcy, wykonaniem ekspertyzy, jej zatwierdzeniem przez zamawiającego – szacunkowy koszt do 15 000 zł)</w:t>
            </w:r>
          </w:p>
          <w:p w:rsidR="00852077" w:rsidRPr="00ED1715" w:rsidRDefault="00ED1715" w:rsidP="00ED171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 </w:t>
            </w:r>
            <w:r w:rsidR="00852077" w:rsidRPr="00ED1715">
              <w:rPr>
                <w:rFonts w:ascii="Tahoma" w:hAnsi="Tahoma" w:cs="Tahoma"/>
                <w:sz w:val="18"/>
                <w:szCs w:val="18"/>
              </w:rPr>
              <w:t xml:space="preserve">konieczność wykonania ekspertyzy artystycznej w zakresie formy rzeźbiarskiej (wiąże się to z przeprowadzeniem postępowania na wyłonienie wykonawcy, wykonaniem ekspertyzy, </w:t>
            </w:r>
            <w:r w:rsidR="00852077" w:rsidRPr="00ED1715">
              <w:rPr>
                <w:rFonts w:ascii="Tahoma" w:hAnsi="Tahoma" w:cs="Tahoma"/>
                <w:sz w:val="18"/>
                <w:szCs w:val="18"/>
              </w:rPr>
              <w:lastRenderedPageBreak/>
              <w:t>jej zatwierdzeniem przez wojewódzkiego konserwatora zabytków oraz zamawiającego – szacunkowy koszt do 15 000 zł)</w:t>
            </w:r>
          </w:p>
          <w:p w:rsidR="00ED1715" w:rsidRDefault="00ED1715" w:rsidP="00ED171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     </w:t>
            </w:r>
            <w:r w:rsidR="00852077" w:rsidRPr="00ED1715">
              <w:rPr>
                <w:rFonts w:ascii="Tahoma" w:hAnsi="Tahoma" w:cs="Tahoma"/>
                <w:sz w:val="18"/>
                <w:szCs w:val="18"/>
              </w:rPr>
              <w:t>przeprowadzenie postępowania związanego z projektem i realizacją posągu (wskazany byłby konkurs w formule zamówień publicznych)</w:t>
            </w:r>
          </w:p>
          <w:p w:rsidR="00ED1715" w:rsidRDefault="00ED1715" w:rsidP="00ED171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  </w:t>
            </w:r>
            <w:r w:rsidR="00852077" w:rsidRPr="00ED1715">
              <w:rPr>
                <w:rFonts w:ascii="Tahoma" w:hAnsi="Tahoma" w:cs="Tahoma"/>
                <w:sz w:val="18"/>
                <w:szCs w:val="18"/>
              </w:rPr>
              <w:t>uzyskanie stosownych pozwoleń na lokalizację posągu</w:t>
            </w:r>
          </w:p>
          <w:p w:rsidR="00852077" w:rsidRPr="00ED1715" w:rsidRDefault="00ED1715" w:rsidP="00ED171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</w:t>
            </w:r>
            <w:r w:rsidR="00852077" w:rsidRPr="00ED1715">
              <w:rPr>
                <w:rFonts w:ascii="Tahoma" w:hAnsi="Tahoma" w:cs="Tahoma"/>
                <w:sz w:val="18"/>
                <w:szCs w:val="18"/>
              </w:rPr>
              <w:t>realizacja (szacunkowy koszt wykonania posągu ok. 150 000 zł)</w:t>
            </w:r>
          </w:p>
          <w:p w:rsidR="00852077" w:rsidRPr="00EE47B1" w:rsidRDefault="00852077" w:rsidP="0085207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sz w:val="18"/>
                <w:szCs w:val="18"/>
              </w:rPr>
              <w:t xml:space="preserve">W związku z powyższym przewidywanym harmonogramem czas realizacji zadania znacznie przekroczy okres 10 miesięcy, jaki przewidziany jest na realizację zadania w ramach budżetu obywatelskiego. </w:t>
            </w:r>
          </w:p>
          <w:p w:rsidR="00852077" w:rsidRPr="00EE47B1" w:rsidRDefault="00852077" w:rsidP="008520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47B1">
              <w:rPr>
                <w:rFonts w:ascii="Tahoma" w:hAnsi="Tahoma" w:cs="Tahoma"/>
                <w:sz w:val="18"/>
                <w:szCs w:val="18"/>
              </w:rPr>
              <w:t>Sam pomysł rewitalizacji fontanny wraz z przywróceniem posągu DUA opiniuje pozytywnie (</w:t>
            </w:r>
            <w:r w:rsidRPr="00EE47B1">
              <w:rPr>
                <w:rFonts w:ascii="Tahoma" w:hAnsi="Tahoma" w:cs="Tahoma"/>
                <w:b/>
                <w:sz w:val="18"/>
                <w:szCs w:val="18"/>
              </w:rPr>
              <w:t>ale nie w formule budżetu obywatelskiego</w:t>
            </w:r>
            <w:r w:rsidRPr="00EE47B1">
              <w:rPr>
                <w:rFonts w:ascii="Tahoma" w:hAnsi="Tahoma" w:cs="Tahoma"/>
                <w:sz w:val="18"/>
                <w:szCs w:val="18"/>
              </w:rPr>
              <w:t>), w ślad za zapisami planu miejscowego i wpisem fontanny do rejestru zabytków decyzją WKZ 174/2016 z dnia 23.05.2016r.</w:t>
            </w:r>
          </w:p>
          <w:p w:rsidR="00852077" w:rsidRPr="00A82C71" w:rsidRDefault="00852077" w:rsidP="00EE47B1">
            <w:pPr>
              <w:spacing w:after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E47B1">
              <w:rPr>
                <w:rFonts w:ascii="Tahoma" w:hAnsi="Tahoma" w:cs="Tahoma"/>
                <w:b/>
                <w:sz w:val="18"/>
                <w:szCs w:val="18"/>
              </w:rPr>
              <w:t>Koszt wykonania zadania 180tys.zł. pomnik + 435tys.zł. fontanna tj. 615tysł.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52077" w:rsidRPr="00CF5072" w:rsidRDefault="00033F01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52077" w:rsidRPr="00CF5072" w:rsidRDefault="00033F01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EB27DF" w:rsidRPr="00CF5072" w:rsidTr="00033F01">
        <w:trPr>
          <w:trHeight w:val="973"/>
        </w:trPr>
        <w:tc>
          <w:tcPr>
            <w:tcW w:w="567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DSM.3020.43.2017.UM</w:t>
            </w:r>
          </w:p>
        </w:tc>
        <w:tc>
          <w:tcPr>
            <w:tcW w:w="2942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Parking</w:t>
            </w:r>
          </w:p>
          <w:p w:rsidR="00EB27DF" w:rsidRPr="00CF5072" w:rsidRDefault="00EB27DF" w:rsidP="00EB27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(nowy, jedyny, bezpłatny parking)</w:t>
            </w:r>
          </w:p>
        </w:tc>
        <w:tc>
          <w:tcPr>
            <w:tcW w:w="1877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Stare Miasto</w:t>
            </w:r>
          </w:p>
          <w:p w:rsidR="00EB27DF" w:rsidRPr="00CF5072" w:rsidRDefault="00EE47B1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00EB27DF" w:rsidRPr="00CF5072">
              <w:rPr>
                <w:rFonts w:ascii="Tahoma" w:hAnsi="Tahoma" w:cs="Tahoma"/>
                <w:sz w:val="18"/>
                <w:szCs w:val="18"/>
              </w:rPr>
              <w:t>l. Służebna</w:t>
            </w:r>
          </w:p>
        </w:tc>
        <w:tc>
          <w:tcPr>
            <w:tcW w:w="1276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F5072">
              <w:rPr>
                <w:rFonts w:ascii="Tahoma" w:hAnsi="Tahoma" w:cs="Tahoma"/>
                <w:b/>
                <w:sz w:val="18"/>
                <w:szCs w:val="18"/>
              </w:rPr>
              <w:t>DGNiG</w:t>
            </w:r>
            <w:proofErr w:type="spellEnd"/>
            <w:r w:rsidRPr="00CF5072">
              <w:rPr>
                <w:rFonts w:ascii="Tahoma" w:hAnsi="Tahoma" w:cs="Tahoma"/>
                <w:b/>
                <w:sz w:val="18"/>
                <w:szCs w:val="18"/>
              </w:rPr>
              <w:t xml:space="preserve"> – negatywnie</w:t>
            </w:r>
            <w:r w:rsidRPr="00CF5072">
              <w:rPr>
                <w:rFonts w:ascii="Tahoma" w:hAnsi="Tahoma" w:cs="Tahoma"/>
                <w:sz w:val="18"/>
                <w:szCs w:val="18"/>
              </w:rPr>
              <w:t xml:space="preserve">. Dla tego obszaru ustalony jest MPZP z określoną funkcją mieszkaniowo – usługową. </w:t>
            </w:r>
            <w:r w:rsidRPr="00CF5072">
              <w:rPr>
                <w:rFonts w:ascii="Tahoma" w:hAnsi="Tahoma" w:cs="Tahoma"/>
                <w:b/>
                <w:sz w:val="18"/>
                <w:szCs w:val="18"/>
              </w:rPr>
              <w:t>Nieruchomość przeznaczona jest do zbycia.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B27DF" w:rsidRPr="00CF5072" w:rsidRDefault="00033F01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B27DF" w:rsidRPr="00CF5072" w:rsidRDefault="00033F01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EB27DF" w:rsidRPr="00CF5072" w:rsidTr="00EB27DF">
        <w:trPr>
          <w:trHeight w:val="409"/>
        </w:trPr>
        <w:tc>
          <w:tcPr>
            <w:tcW w:w="567" w:type="dxa"/>
            <w:vMerge w:val="restart"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269" w:type="dxa"/>
            <w:vMerge w:val="restart"/>
            <w:vAlign w:val="center"/>
          </w:tcPr>
          <w:p w:rsidR="00EB27DF" w:rsidRPr="00CF5072" w:rsidRDefault="00EE47B1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</w:t>
            </w:r>
            <w:r w:rsidR="00EB27DF" w:rsidRPr="00CF5072">
              <w:rPr>
                <w:rFonts w:ascii="Tahoma" w:hAnsi="Tahoma" w:cs="Tahoma"/>
                <w:sz w:val="18"/>
                <w:szCs w:val="18"/>
              </w:rPr>
              <w:t>.3020.49.2017.UM</w:t>
            </w:r>
          </w:p>
        </w:tc>
        <w:tc>
          <w:tcPr>
            <w:tcW w:w="2942" w:type="dxa"/>
            <w:vMerge w:val="restart"/>
            <w:vAlign w:val="center"/>
          </w:tcPr>
          <w:p w:rsidR="00EB27DF" w:rsidRPr="00CF5072" w:rsidRDefault="00EB27DF" w:rsidP="00EB27D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Przejście dla pieszych</w:t>
            </w:r>
          </w:p>
          <w:p w:rsidR="00EB27DF" w:rsidRPr="00CF5072" w:rsidRDefault="00EB27DF" w:rsidP="00EB27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(z sygnalizacją świetlną)</w:t>
            </w:r>
          </w:p>
        </w:tc>
        <w:tc>
          <w:tcPr>
            <w:tcW w:w="1877" w:type="dxa"/>
            <w:vMerge w:val="restart"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Ul. Moniuszki i ul. Norwida</w:t>
            </w:r>
          </w:p>
        </w:tc>
        <w:tc>
          <w:tcPr>
            <w:tcW w:w="1276" w:type="dxa"/>
            <w:vMerge w:val="restart"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CF5072">
              <w:rPr>
                <w:rFonts w:ascii="Tahoma" w:hAnsi="Tahoma" w:cs="Tahoma"/>
                <w:sz w:val="18"/>
                <w:szCs w:val="18"/>
              </w:rPr>
              <w:t xml:space="preserve"> – nie wnosi uwag. MPZP Doliny Rzeki </w:t>
            </w:r>
            <w:proofErr w:type="spellStart"/>
            <w:r w:rsidRPr="00CF5072">
              <w:rPr>
                <w:rFonts w:ascii="Tahoma" w:hAnsi="Tahoma" w:cs="Tahoma"/>
                <w:sz w:val="18"/>
                <w:szCs w:val="18"/>
              </w:rPr>
              <w:t>Kumieli</w:t>
            </w:r>
            <w:proofErr w:type="spellEnd"/>
            <w:r w:rsidRPr="00CF507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B27DF" w:rsidRPr="00CF5072" w:rsidRDefault="00033F01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B27DF" w:rsidRPr="00CF5072" w:rsidRDefault="00033F01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EB27DF" w:rsidRPr="00CF5072" w:rsidTr="00EB27DF">
        <w:trPr>
          <w:trHeight w:val="708"/>
        </w:trPr>
        <w:tc>
          <w:tcPr>
            <w:tcW w:w="567" w:type="dxa"/>
            <w:vMerge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vMerge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EB27DF" w:rsidRPr="00CF5072" w:rsidRDefault="00EB27DF" w:rsidP="00EB27D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18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DZD – negatywnie</w:t>
            </w:r>
            <w:r w:rsidRPr="00CF5072">
              <w:rPr>
                <w:rFonts w:ascii="Tahoma" w:hAnsi="Tahoma" w:cs="Tahoma"/>
                <w:sz w:val="18"/>
                <w:szCs w:val="18"/>
              </w:rPr>
              <w:t>. Na ul. Moniuszki na odc. od ul. Szymanowskiego do ul. Kopernika obowiązuje ograniczenie ruchu dla pojazdów &gt;3,5 t z wyjątkiem komunikacji miejskiej, ograniczenie prędkości do 40 k/h, a pomiędzy progami wyspowymi do 20 km/</w:t>
            </w:r>
            <w:proofErr w:type="spellStart"/>
            <w:r w:rsidRPr="00CF5072">
              <w:rPr>
                <w:rFonts w:ascii="Tahoma" w:hAnsi="Tahoma" w:cs="Tahoma"/>
                <w:sz w:val="18"/>
                <w:szCs w:val="18"/>
              </w:rPr>
              <w:t>h.W</w:t>
            </w:r>
            <w:proofErr w:type="spellEnd"/>
            <w:r w:rsidRPr="00CF5072">
              <w:rPr>
                <w:rFonts w:ascii="Tahoma" w:hAnsi="Tahoma" w:cs="Tahoma"/>
                <w:sz w:val="18"/>
                <w:szCs w:val="18"/>
              </w:rPr>
              <w:t xml:space="preserve"> latach 2015-2016 nie było żadnych zdarzeń drogowych, nie ma podstaw do wyznaczania przejścia wyposażonego w  sygnalizację świetlną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27DF" w:rsidRPr="00CF5072" w:rsidTr="00EB27DF">
        <w:trPr>
          <w:trHeight w:val="708"/>
        </w:trPr>
        <w:tc>
          <w:tcPr>
            <w:tcW w:w="567" w:type="dxa"/>
            <w:vAlign w:val="center"/>
          </w:tcPr>
          <w:p w:rsidR="00EB27DF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2269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DSM.3020.59.2017.UM</w:t>
            </w:r>
          </w:p>
        </w:tc>
        <w:tc>
          <w:tcPr>
            <w:tcW w:w="2942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Pomoc w adaptacji i remoncie pomieszczeń przeznaczonych na Centrum Kultury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Calasanz</w:t>
            </w:r>
            <w:proofErr w:type="spellEnd"/>
          </w:p>
        </w:tc>
        <w:tc>
          <w:tcPr>
            <w:tcW w:w="1877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Saperów 20</w:t>
            </w:r>
          </w:p>
        </w:tc>
        <w:tc>
          <w:tcPr>
            <w:tcW w:w="1276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vAlign w:val="center"/>
          </w:tcPr>
          <w:p w:rsidR="00EB27DF" w:rsidRPr="00CF5072" w:rsidRDefault="00EB27DF" w:rsidP="00EB27D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DGNiG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– negatywnie. </w:t>
            </w:r>
            <w:r w:rsidRPr="007D3B28">
              <w:rPr>
                <w:rFonts w:ascii="Tahoma" w:hAnsi="Tahoma" w:cs="Tahoma"/>
                <w:sz w:val="18"/>
                <w:szCs w:val="18"/>
              </w:rPr>
              <w:t>Teren Polskiej Prowincji Zakonu Pijarów.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B27DF" w:rsidRPr="00CF5072" w:rsidRDefault="004F6ECA" w:rsidP="00EB27DF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B27DF" w:rsidRPr="00CF5072" w:rsidRDefault="004F6ECA" w:rsidP="00EB27DF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A82C71" w:rsidRPr="00CF5072" w:rsidTr="00EB27DF">
        <w:trPr>
          <w:trHeight w:val="274"/>
        </w:trPr>
        <w:tc>
          <w:tcPr>
            <w:tcW w:w="567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269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DSM.3020.85.2017.UM</w:t>
            </w:r>
          </w:p>
        </w:tc>
        <w:tc>
          <w:tcPr>
            <w:tcW w:w="2942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Plac zabaw</w:t>
            </w:r>
          </w:p>
          <w:p w:rsidR="00A82C71" w:rsidRPr="00CF5072" w:rsidRDefault="00A82C71" w:rsidP="00A82C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(budowa nowoczesnego i bezpiecznego placu zabaw)</w:t>
            </w:r>
          </w:p>
        </w:tc>
        <w:tc>
          <w:tcPr>
            <w:tcW w:w="1877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Polana w Parku Leśnym Bażantarnia</w:t>
            </w:r>
          </w:p>
        </w:tc>
        <w:tc>
          <w:tcPr>
            <w:tcW w:w="1276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vAlign w:val="center"/>
          </w:tcPr>
          <w:p w:rsidR="00A82C71" w:rsidRPr="00033F01" w:rsidRDefault="00A82C71" w:rsidP="00A82C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3F01">
              <w:rPr>
                <w:rFonts w:ascii="Tahoma" w:hAnsi="Tahoma" w:cs="Tahoma"/>
                <w:b/>
                <w:sz w:val="18"/>
                <w:szCs w:val="18"/>
              </w:rPr>
              <w:t>RGK, ZZM – negatywnie</w:t>
            </w:r>
            <w:r w:rsidRPr="00033F01">
              <w:rPr>
                <w:rFonts w:ascii="Tahoma" w:hAnsi="Tahoma" w:cs="Tahoma"/>
                <w:sz w:val="18"/>
                <w:szCs w:val="18"/>
              </w:rPr>
              <w:t>. Na terenie administrowanym przez ZZM w Elblągu znajduje się 8 placów zabaw i sześć siłowni dla dorosłych. Będą one wzbogacone w urządzenia integracyjne dostępne również dla dzieci niepełnosprawnych.</w:t>
            </w:r>
          </w:p>
          <w:p w:rsidR="00A82C71" w:rsidRPr="0010180F" w:rsidRDefault="00A82C71" w:rsidP="00A82C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3F01">
              <w:rPr>
                <w:rFonts w:ascii="Tahoma" w:hAnsi="Tahoma" w:cs="Tahoma"/>
                <w:sz w:val="18"/>
                <w:szCs w:val="18"/>
              </w:rPr>
              <w:t>Na dużej polanie w Lesie Komunalnym Bażantarnia znajdują się dwie wiaty murowane, miejsca na ogniska oraz miejsca do gry w tenisa stołowego, gry w koszykówkę i siatkówkę. W ramach projektu „Trasy rowerowe w Polsce Wschodniej – województwa warmińsko – mazurskiego” odcinka przechodzącego przez Bażantarnię został również wybudowany MOR z toaletą dla osób niepełnosprawnych. W związku z odbywającymi się na polanie licznymi imprezami miejskimi, tj.: biegami przełajowymi, rajdami pieszymi, rajdami rowerowymi, festynami rodzinnymi organizowanymi przez zakłady pracy, spotkaniami przy ogniskach organizowanymi przez MO_PS, szkoły, przedszkola, parafie, osoby prywatne – Zarząd Zieleni Miejskiej uważa, że przestrzeń na dużej polanie w LK „Bażantarnia” powinna być wykorzystywana do tego typu imprez.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4F6ECA" w:rsidP="00A82C7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4F6ECA" w:rsidP="00A82C7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A82C71" w:rsidRPr="00CF5072" w:rsidTr="00EB27DF">
        <w:trPr>
          <w:trHeight w:val="708"/>
        </w:trPr>
        <w:tc>
          <w:tcPr>
            <w:tcW w:w="567" w:type="dxa"/>
            <w:vAlign w:val="center"/>
          </w:tcPr>
          <w:p w:rsidR="00A82C71" w:rsidRPr="001C4DFA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269" w:type="dxa"/>
            <w:vAlign w:val="center"/>
          </w:tcPr>
          <w:p w:rsidR="00A82C71" w:rsidRPr="001C4DFA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180F">
              <w:rPr>
                <w:rFonts w:ascii="Tahoma" w:hAnsi="Tahoma" w:cs="Tahoma"/>
                <w:sz w:val="18"/>
                <w:szCs w:val="18"/>
              </w:rPr>
              <w:t>DSM.3020.97.2017.UM</w:t>
            </w:r>
          </w:p>
        </w:tc>
        <w:tc>
          <w:tcPr>
            <w:tcW w:w="2942" w:type="dxa"/>
            <w:vAlign w:val="center"/>
          </w:tcPr>
          <w:p w:rsidR="00A82C71" w:rsidRPr="0010180F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0180F">
              <w:rPr>
                <w:rFonts w:ascii="Tahoma" w:hAnsi="Tahoma" w:cs="Tahoma"/>
                <w:b/>
                <w:sz w:val="18"/>
                <w:szCs w:val="18"/>
              </w:rPr>
              <w:t>Kamery</w:t>
            </w:r>
          </w:p>
          <w:p w:rsidR="00A82C71" w:rsidRPr="001C4DFA" w:rsidRDefault="00A82C71" w:rsidP="00033F01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10180F">
              <w:rPr>
                <w:rFonts w:ascii="Tahoma" w:hAnsi="Tahoma" w:cs="Tahoma"/>
                <w:sz w:val="18"/>
                <w:szCs w:val="18"/>
              </w:rPr>
              <w:t>(na skrzyżowaniach)</w:t>
            </w:r>
          </w:p>
        </w:tc>
        <w:tc>
          <w:tcPr>
            <w:tcW w:w="1877" w:type="dxa"/>
            <w:vAlign w:val="center"/>
          </w:tcPr>
          <w:p w:rsidR="00A82C71" w:rsidRPr="001C4DFA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180F">
              <w:rPr>
                <w:rFonts w:ascii="Tahoma" w:hAnsi="Tahoma" w:cs="Tahoma"/>
                <w:sz w:val="18"/>
                <w:szCs w:val="18"/>
              </w:rPr>
              <w:t>Całe Miasto</w:t>
            </w:r>
          </w:p>
        </w:tc>
        <w:tc>
          <w:tcPr>
            <w:tcW w:w="1276" w:type="dxa"/>
            <w:vAlign w:val="center"/>
          </w:tcPr>
          <w:p w:rsidR="00A82C71" w:rsidRPr="001C4DFA" w:rsidRDefault="00A82C71" w:rsidP="00A82C71">
            <w:pPr>
              <w:spacing w:after="0" w:line="240" w:lineRule="auto"/>
              <w:jc w:val="right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  <w:bookmarkStart w:id="0" w:name="_GoBack"/>
            <w:bookmarkEnd w:id="0"/>
          </w:p>
        </w:tc>
        <w:tc>
          <w:tcPr>
            <w:tcW w:w="4218" w:type="dxa"/>
            <w:vAlign w:val="center"/>
          </w:tcPr>
          <w:p w:rsidR="00A82C71" w:rsidRPr="001C4DFA" w:rsidRDefault="00A82C71" w:rsidP="008A07F1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DZD – negatywnie. </w:t>
            </w:r>
            <w:r w:rsidRPr="008A07F1">
              <w:rPr>
                <w:rFonts w:ascii="Tahoma" w:hAnsi="Tahoma" w:cs="Tahoma"/>
                <w:sz w:val="18"/>
                <w:szCs w:val="18"/>
              </w:rPr>
              <w:t xml:space="preserve">Koszt przekracza środki </w:t>
            </w:r>
            <w:r w:rsidR="00ED1715" w:rsidRPr="008A07F1">
              <w:rPr>
                <w:rFonts w:ascii="Tahoma" w:hAnsi="Tahoma" w:cs="Tahoma"/>
                <w:sz w:val="18"/>
                <w:szCs w:val="18"/>
              </w:rPr>
              <w:t>w budżecie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1C4DFA" w:rsidRDefault="004F6ECA" w:rsidP="00A82C7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1C4DFA" w:rsidRDefault="004F6ECA" w:rsidP="00A82C7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A82C71" w:rsidRPr="00CF5072" w:rsidTr="00EB27DF">
        <w:trPr>
          <w:trHeight w:val="486"/>
        </w:trPr>
        <w:tc>
          <w:tcPr>
            <w:tcW w:w="567" w:type="dxa"/>
            <w:vAlign w:val="center"/>
          </w:tcPr>
          <w:p w:rsidR="00A82C71" w:rsidRPr="0010180F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269" w:type="dxa"/>
            <w:vAlign w:val="center"/>
          </w:tcPr>
          <w:p w:rsidR="00A82C71" w:rsidRPr="00DA09FC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09FC">
              <w:rPr>
                <w:rFonts w:ascii="Tahoma" w:hAnsi="Tahoma" w:cs="Tahoma"/>
                <w:sz w:val="18"/>
                <w:szCs w:val="18"/>
              </w:rPr>
              <w:t xml:space="preserve">Zofia </w:t>
            </w:r>
            <w:proofErr w:type="spellStart"/>
            <w:r w:rsidRPr="00DA09FC">
              <w:rPr>
                <w:rFonts w:ascii="Tahoma" w:hAnsi="Tahoma" w:cs="Tahoma"/>
                <w:sz w:val="18"/>
                <w:szCs w:val="18"/>
              </w:rPr>
              <w:t>Szulakiewicz</w:t>
            </w:r>
            <w:proofErr w:type="spellEnd"/>
          </w:p>
          <w:p w:rsidR="00A82C71" w:rsidRPr="0010180F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09FC">
              <w:rPr>
                <w:rFonts w:ascii="Tahoma" w:hAnsi="Tahoma" w:cs="Tahoma"/>
                <w:sz w:val="18"/>
                <w:szCs w:val="18"/>
              </w:rPr>
              <w:t>DSM.3020.125.2017.UM</w:t>
            </w:r>
          </w:p>
        </w:tc>
        <w:tc>
          <w:tcPr>
            <w:tcW w:w="2942" w:type="dxa"/>
            <w:vAlign w:val="center"/>
          </w:tcPr>
          <w:p w:rsidR="00A82C71" w:rsidRPr="00DA09FC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A09FC">
              <w:rPr>
                <w:rFonts w:ascii="Tahoma" w:hAnsi="Tahoma" w:cs="Tahoma"/>
                <w:b/>
                <w:sz w:val="18"/>
                <w:szCs w:val="18"/>
              </w:rPr>
              <w:t>Radiowóz hybrydowy</w:t>
            </w:r>
          </w:p>
          <w:p w:rsidR="00A82C71" w:rsidRPr="0010180F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A09FC">
              <w:rPr>
                <w:rFonts w:ascii="Tahoma" w:hAnsi="Tahoma" w:cs="Tahoma"/>
                <w:sz w:val="18"/>
                <w:szCs w:val="18"/>
              </w:rPr>
              <w:t>(zakup hybrydowego radiowozu dla Policji – prewencji)</w:t>
            </w:r>
          </w:p>
        </w:tc>
        <w:tc>
          <w:tcPr>
            <w:tcW w:w="1877" w:type="dxa"/>
            <w:vAlign w:val="center"/>
          </w:tcPr>
          <w:p w:rsidR="00A82C71" w:rsidRPr="0010180F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09FC">
              <w:rPr>
                <w:rFonts w:ascii="Tahoma" w:hAnsi="Tahoma" w:cs="Tahoma"/>
                <w:sz w:val="18"/>
                <w:szCs w:val="18"/>
              </w:rPr>
              <w:t>Miasto</w:t>
            </w:r>
          </w:p>
        </w:tc>
        <w:tc>
          <w:tcPr>
            <w:tcW w:w="1276" w:type="dxa"/>
            <w:vAlign w:val="center"/>
          </w:tcPr>
          <w:p w:rsidR="00A82C71" w:rsidRDefault="00A82C71" w:rsidP="00A82C7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vAlign w:val="center"/>
          </w:tcPr>
          <w:p w:rsidR="00A82C71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RBiZK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– negatywnie. </w:t>
            </w:r>
            <w:r w:rsidRPr="00DA09FC">
              <w:rPr>
                <w:rFonts w:ascii="Tahoma" w:hAnsi="Tahoma" w:cs="Tahoma"/>
                <w:sz w:val="18"/>
                <w:szCs w:val="18"/>
              </w:rPr>
              <w:t>W projekcie budżetu na 2018 r. przewidziano współudział w zakupie pojazdów (radiowozów) w wersji nieoznakowanej w wys.60tys.zł.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4F6ECA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4F6ECA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A82C71" w:rsidRPr="00CF5072" w:rsidTr="00EB27DF">
        <w:trPr>
          <w:trHeight w:val="834"/>
        </w:trPr>
        <w:tc>
          <w:tcPr>
            <w:tcW w:w="567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269" w:type="dxa"/>
            <w:vAlign w:val="center"/>
          </w:tcPr>
          <w:p w:rsidR="00A82C71" w:rsidRPr="00DA09FC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DSM.3020.147.2017.UM</w:t>
            </w:r>
          </w:p>
        </w:tc>
        <w:tc>
          <w:tcPr>
            <w:tcW w:w="2942" w:type="dxa"/>
            <w:vAlign w:val="center"/>
          </w:tcPr>
          <w:p w:rsidR="00A82C71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Windą do nieba</w:t>
            </w:r>
          </w:p>
          <w:p w:rsidR="00A82C71" w:rsidRPr="00DA09FC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(zakup nowoczesnej wyciągarki szybowcowej)</w:t>
            </w:r>
          </w:p>
        </w:tc>
        <w:tc>
          <w:tcPr>
            <w:tcW w:w="1877" w:type="dxa"/>
            <w:vAlign w:val="center"/>
          </w:tcPr>
          <w:p w:rsidR="00A82C71" w:rsidRPr="00DA09FC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Aeroklub Elbląski</w:t>
            </w:r>
          </w:p>
        </w:tc>
        <w:tc>
          <w:tcPr>
            <w:tcW w:w="1276" w:type="dxa"/>
            <w:vAlign w:val="center"/>
          </w:tcPr>
          <w:p w:rsidR="00A82C71" w:rsidRPr="00DA09FC" w:rsidRDefault="00A82C71" w:rsidP="00A82C7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vAlign w:val="center"/>
          </w:tcPr>
          <w:p w:rsidR="00A82C71" w:rsidRPr="00DA09FC" w:rsidRDefault="00A82C71" w:rsidP="004F6EC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DSO – brak </w:t>
            </w:r>
            <w:r w:rsidR="004F6ECA">
              <w:rPr>
                <w:rFonts w:ascii="Tahoma" w:hAnsi="Tahoma" w:cs="Tahoma"/>
                <w:b/>
                <w:sz w:val="18"/>
                <w:szCs w:val="18"/>
              </w:rPr>
              <w:t>wnioskodawcy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rejestrze wyborców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4F6ECA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4F6ECA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A82C71" w:rsidRPr="00CF5072" w:rsidTr="00EB27DF">
        <w:trPr>
          <w:trHeight w:val="816"/>
        </w:trPr>
        <w:tc>
          <w:tcPr>
            <w:tcW w:w="567" w:type="dxa"/>
            <w:vAlign w:val="center"/>
          </w:tcPr>
          <w:p w:rsidR="00A82C71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9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DSM.3020.154.2017.UM</w:t>
            </w:r>
          </w:p>
        </w:tc>
        <w:tc>
          <w:tcPr>
            <w:tcW w:w="2942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Pełnomocnik Prezydenta ds. aktywnej mobilności</w:t>
            </w:r>
          </w:p>
        </w:tc>
        <w:tc>
          <w:tcPr>
            <w:tcW w:w="1877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Miasto Elbląg</w:t>
            </w:r>
          </w:p>
        </w:tc>
        <w:tc>
          <w:tcPr>
            <w:tcW w:w="1276" w:type="dxa"/>
            <w:vAlign w:val="center"/>
          </w:tcPr>
          <w:p w:rsidR="006E2AB9" w:rsidRPr="00CF5072" w:rsidRDefault="006E2AB9" w:rsidP="006E2AB9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  <w:p w:rsidR="00A82C71" w:rsidRPr="00CF5072" w:rsidRDefault="00A82C71" w:rsidP="00A82C7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18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33F01">
              <w:rPr>
                <w:rFonts w:ascii="Tahoma" w:hAnsi="Tahoma" w:cs="Tahoma"/>
                <w:b/>
                <w:sz w:val="18"/>
                <w:szCs w:val="16"/>
              </w:rPr>
              <w:t>DO – negatywnie</w:t>
            </w:r>
            <w:r w:rsidRPr="00033F01">
              <w:rPr>
                <w:rFonts w:ascii="Tahoma" w:hAnsi="Tahoma" w:cs="Tahoma"/>
                <w:sz w:val="18"/>
                <w:szCs w:val="16"/>
              </w:rPr>
              <w:t xml:space="preserve">. Zgodnie z Zarządzeniem Prezydenta Miasta Nr 206/2017 z dnia 2-05-2017 r. „w ramach Budżetu Obywatelskiego mogą być proponowane zadania dotyczące danego okręgu wyborczego (zadania inwestycyjne i małe projekty) oraz inicjatywy </w:t>
            </w:r>
            <w:proofErr w:type="spellStart"/>
            <w:r w:rsidR="004F6ECA">
              <w:rPr>
                <w:rFonts w:ascii="Tahoma" w:hAnsi="Tahoma" w:cs="Tahoma"/>
                <w:sz w:val="18"/>
                <w:szCs w:val="16"/>
              </w:rPr>
              <w:t>ogólno</w:t>
            </w:r>
            <w:r w:rsidR="004F6ECA" w:rsidRPr="00033F01">
              <w:rPr>
                <w:rFonts w:ascii="Tahoma" w:hAnsi="Tahoma" w:cs="Tahoma"/>
                <w:sz w:val="18"/>
                <w:szCs w:val="16"/>
              </w:rPr>
              <w:t>miejskie</w:t>
            </w:r>
            <w:proofErr w:type="spellEnd"/>
            <w:r w:rsidRPr="00033F01">
              <w:rPr>
                <w:rFonts w:ascii="Tahoma" w:hAnsi="Tahoma" w:cs="Tahoma"/>
                <w:sz w:val="18"/>
                <w:szCs w:val="16"/>
              </w:rPr>
              <w:t xml:space="preserve"> służące mieszkańcom całego miasta, których realizacja jest możliwa w ciągu jednego roku budżetowego”. Ponadto § 3 ust. 1 cyt. dokumentu stanowi, iż „(zgłaszane projekty nie mogą generować kolejnych nakładów inwestycyjnych)… Zgłaszane projekty powinny stanowić zamkniętą całość, środki z BO nie mogą być jednym ze źródeł finansowania zgłaszanego projektu”. Tak więc zatrudnienie etatowego Pełnomocnika nie jest zadaniem, którego realizacja jest możliwa w ciągu jednego roku i która nie generowałaby kolejnych nakładów. W związku z powyższym należy stwierdzić , iż przedmiotowy wniosek nie spełnia podstawowych zasad funkcjonowania budżetu obywatelskiego w mieście Elbląg na rok 2018.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ED1715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ED1715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A82C71" w:rsidRPr="00CF5072" w:rsidTr="00EB27DF">
        <w:trPr>
          <w:trHeight w:val="274"/>
        </w:trPr>
        <w:tc>
          <w:tcPr>
            <w:tcW w:w="567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269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DSM.3020.156.2017.UM</w:t>
            </w:r>
          </w:p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F5072">
              <w:rPr>
                <w:rFonts w:ascii="Tahoma" w:hAnsi="Tahoma" w:cs="Tahoma"/>
                <w:b/>
                <w:sz w:val="18"/>
                <w:szCs w:val="18"/>
              </w:rPr>
              <w:t>Pumptrack</w:t>
            </w:r>
            <w:proofErr w:type="spellEnd"/>
          </w:p>
          <w:p w:rsidR="00A82C71" w:rsidRPr="00CF5072" w:rsidRDefault="00A82C71" w:rsidP="00A82C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(budowa toru do jazdy rowerem łączącej jazdę wyczynową z wszechstronnym treningiem</w:t>
            </w:r>
          </w:p>
          <w:p w:rsidR="00A82C71" w:rsidRPr="00CF5072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Skwer przy ul. Mickiewicza</w:t>
            </w:r>
          </w:p>
          <w:p w:rsidR="00A82C71" w:rsidRPr="00CF5072" w:rsidRDefault="00033F0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A82C71" w:rsidRPr="00CF5072">
              <w:rPr>
                <w:rFonts w:ascii="Tahoma" w:hAnsi="Tahoma" w:cs="Tahoma"/>
                <w:sz w:val="18"/>
                <w:szCs w:val="18"/>
              </w:rPr>
              <w:t xml:space="preserve">obok </w:t>
            </w:r>
            <w:proofErr w:type="spellStart"/>
            <w:r w:rsidR="00A82C71" w:rsidRPr="00CF5072">
              <w:rPr>
                <w:rFonts w:ascii="Tahoma" w:hAnsi="Tahoma" w:cs="Tahoma"/>
                <w:sz w:val="18"/>
                <w:szCs w:val="18"/>
              </w:rPr>
              <w:t>skateparku</w:t>
            </w:r>
            <w:proofErr w:type="spellEnd"/>
            <w:r w:rsidR="00A82C71" w:rsidRPr="00CF5072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  <w:p w:rsidR="00A82C71" w:rsidRPr="00CF5072" w:rsidRDefault="00A82C71" w:rsidP="00A82C7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18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RGK, ZZM – negatywnie</w:t>
            </w:r>
            <w:r w:rsidRPr="00CF5072">
              <w:rPr>
                <w:rFonts w:ascii="Tahoma" w:hAnsi="Tahoma" w:cs="Tahoma"/>
                <w:sz w:val="18"/>
                <w:szCs w:val="18"/>
              </w:rPr>
              <w:t xml:space="preserve">. Zgodnie z projektem zagospodarowania zieleńca jego terenie jest już plac zabaw dla dzieci, który w roku bieżącym będzie rozbudowany o urządzenia dla dzieci niepełnosprawnych oraz dzieci z zaburzoną motoryką, </w:t>
            </w:r>
            <w:proofErr w:type="spellStart"/>
            <w:r w:rsidRPr="00CF5072">
              <w:rPr>
                <w:rFonts w:ascii="Tahoma" w:hAnsi="Tahoma" w:cs="Tahoma"/>
                <w:sz w:val="18"/>
                <w:szCs w:val="18"/>
              </w:rPr>
              <w:t>skatepark</w:t>
            </w:r>
            <w:proofErr w:type="spellEnd"/>
            <w:r w:rsidRPr="00CF5072">
              <w:rPr>
                <w:rFonts w:ascii="Tahoma" w:hAnsi="Tahoma" w:cs="Tahoma"/>
                <w:sz w:val="18"/>
                <w:szCs w:val="18"/>
              </w:rPr>
              <w:t>, bramki do gry w piłkę nożną, siłownię na świeżym powietrzu dla dorosłych  oraz park rekreacyjny dla seniorów – wyposażony w urządzenia do ćwiczeń. Projekt zabudowy zieleńca przewiduje również:</w:t>
            </w:r>
          </w:p>
          <w:p w:rsidR="00A82C71" w:rsidRPr="00CF5072" w:rsidRDefault="00A82C71" w:rsidP="00A82C7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miejsca do zabaw i plażowania na trawie,</w:t>
            </w:r>
          </w:p>
          <w:p w:rsidR="00A82C71" w:rsidRPr="00CF5072" w:rsidRDefault="00A82C71" w:rsidP="00A82C7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plac do jazdy na rolkach/malowania kredą,</w:t>
            </w:r>
          </w:p>
          <w:p w:rsidR="00A82C71" w:rsidRPr="00CF5072" w:rsidRDefault="00A82C71" w:rsidP="00A82C7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górki rekreacyjnej (zimą wykorzystanej do jazdy na sankach),</w:t>
            </w:r>
          </w:p>
          <w:p w:rsidR="00A82C71" w:rsidRPr="00CF5072" w:rsidRDefault="00A82C71" w:rsidP="00A82C7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ahoma" w:hAnsi="Tahoma" w:cs="Tahoma"/>
                <w:sz w:val="18"/>
                <w:szCs w:val="18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wybiegu dla psów.</w:t>
            </w:r>
          </w:p>
          <w:p w:rsidR="00A82C71" w:rsidRPr="0010180F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F5072">
              <w:rPr>
                <w:rFonts w:ascii="Tahoma" w:hAnsi="Tahoma" w:cs="Tahoma"/>
                <w:sz w:val="18"/>
                <w:szCs w:val="18"/>
              </w:rPr>
              <w:t>Po zagospodarowaniu zieleńca w całości projektu nie pozostanie już miejsca na zlokalizowanie kolejnych obiektów.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ED1715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ED1715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A82C71" w:rsidRPr="00CF5072" w:rsidTr="00EB27DF">
        <w:trPr>
          <w:trHeight w:val="708"/>
        </w:trPr>
        <w:tc>
          <w:tcPr>
            <w:tcW w:w="567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9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4267">
              <w:rPr>
                <w:rFonts w:ascii="Tahoma" w:hAnsi="Tahoma" w:cs="Tahoma"/>
                <w:sz w:val="18"/>
                <w:szCs w:val="18"/>
              </w:rPr>
              <w:t>DSM.3020.162.2017.UM</w:t>
            </w:r>
          </w:p>
        </w:tc>
        <w:tc>
          <w:tcPr>
            <w:tcW w:w="2942" w:type="dxa"/>
            <w:vAlign w:val="center"/>
          </w:tcPr>
          <w:p w:rsidR="00A82C71" w:rsidRPr="00464267" w:rsidRDefault="00A82C71" w:rsidP="00A82C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64267">
              <w:rPr>
                <w:rFonts w:ascii="Tahoma" w:hAnsi="Tahoma" w:cs="Tahoma"/>
                <w:b/>
                <w:sz w:val="18"/>
                <w:szCs w:val="18"/>
              </w:rPr>
              <w:t>Tężnia solankowa</w:t>
            </w:r>
          </w:p>
          <w:p w:rsidR="00A82C71" w:rsidRPr="00464267" w:rsidRDefault="00A82C71" w:rsidP="00A82C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64267">
              <w:rPr>
                <w:rFonts w:ascii="Tahoma" w:hAnsi="Tahoma" w:cs="Tahoma"/>
                <w:sz w:val="18"/>
                <w:szCs w:val="18"/>
              </w:rPr>
              <w:t>(służąca regeneracji organizmu – infekcje górnych dróg oddechowych, alergie, choroby skóry i tarczycy)</w:t>
            </w:r>
          </w:p>
          <w:p w:rsidR="00A82C71" w:rsidRPr="00CF5072" w:rsidRDefault="00A82C71" w:rsidP="00A82C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4267">
              <w:rPr>
                <w:rFonts w:ascii="Tahoma" w:hAnsi="Tahoma" w:cs="Tahoma"/>
                <w:sz w:val="18"/>
                <w:szCs w:val="18"/>
              </w:rPr>
              <w:t>Bulwar Zygmunta Augusta</w:t>
            </w:r>
          </w:p>
        </w:tc>
        <w:tc>
          <w:tcPr>
            <w:tcW w:w="1276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64267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vAlign w:val="center"/>
          </w:tcPr>
          <w:p w:rsidR="00A82C71" w:rsidRPr="00CF5072" w:rsidRDefault="00A82C71" w:rsidP="00A82C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64267">
              <w:rPr>
                <w:rFonts w:ascii="Tahoma" w:hAnsi="Tahoma" w:cs="Tahoma"/>
                <w:b/>
                <w:sz w:val="18"/>
                <w:szCs w:val="18"/>
              </w:rPr>
              <w:t>ZZM – negatywnie</w:t>
            </w:r>
            <w:r w:rsidRPr="00464267">
              <w:rPr>
                <w:rFonts w:ascii="Tahoma" w:hAnsi="Tahoma" w:cs="Tahoma"/>
                <w:sz w:val="18"/>
                <w:szCs w:val="18"/>
              </w:rPr>
              <w:t>. Budowa tężni solankowej na Starym Mieście na Bulwarze Zygmunta Augusta powinna zostać rozważona dopiero po zrealizowaniu całej zabudowy kubaturowej w sąsiedztwie Bulwaru. Jednocześnie informuje się, że Stare Miasto pozostaje pod ochroną konserwatorską i na wszelkie inwestycje na jego terenie wymagane jest pozwolenie Wojewódzkiego Konserwatora Zabytków.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ED1715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2C71" w:rsidRPr="00CF5072" w:rsidRDefault="00ED1715" w:rsidP="00A82C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C44870" w:rsidRPr="00CF5072" w:rsidTr="00EB27DF">
        <w:trPr>
          <w:trHeight w:val="708"/>
        </w:trPr>
        <w:tc>
          <w:tcPr>
            <w:tcW w:w="567" w:type="dxa"/>
            <w:vAlign w:val="center"/>
          </w:tcPr>
          <w:p w:rsidR="00C44870" w:rsidRDefault="00C44870" w:rsidP="00C448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2269" w:type="dxa"/>
            <w:vAlign w:val="center"/>
          </w:tcPr>
          <w:p w:rsidR="00C44870" w:rsidRPr="00464267" w:rsidRDefault="00C44870" w:rsidP="00C448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DSM.3020.30.2017.UM</w:t>
            </w:r>
          </w:p>
        </w:tc>
        <w:tc>
          <w:tcPr>
            <w:tcW w:w="2942" w:type="dxa"/>
            <w:vAlign w:val="center"/>
          </w:tcPr>
          <w:p w:rsidR="00C44870" w:rsidRPr="00464267" w:rsidRDefault="00C44870" w:rsidP="00C4487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Bieżnia tartanowa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6E2AB9">
              <w:rPr>
                <w:rFonts w:ascii="Tahoma" w:hAnsi="Tahoma" w:cs="Tahoma"/>
                <w:sz w:val="18"/>
                <w:szCs w:val="18"/>
              </w:rPr>
              <w:t>(budowa 400m bieżni o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nawierzchni tartanowej wraz z jej odwodnieniem) </w:t>
            </w:r>
          </w:p>
        </w:tc>
        <w:tc>
          <w:tcPr>
            <w:tcW w:w="1877" w:type="dxa"/>
            <w:vAlign w:val="center"/>
          </w:tcPr>
          <w:p w:rsidR="00C44870" w:rsidRPr="00464267" w:rsidRDefault="00C44870" w:rsidP="00C448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Stadion przy ul. Krakusa </w:t>
            </w:r>
          </w:p>
        </w:tc>
        <w:tc>
          <w:tcPr>
            <w:tcW w:w="1276" w:type="dxa"/>
            <w:vAlign w:val="center"/>
          </w:tcPr>
          <w:p w:rsidR="00C44870" w:rsidRPr="00CF5072" w:rsidRDefault="00C44870" w:rsidP="00C44870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F5072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  <w:p w:rsidR="00C44870" w:rsidRPr="00464267" w:rsidRDefault="00C44870" w:rsidP="00C44870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18" w:type="dxa"/>
            <w:vAlign w:val="center"/>
          </w:tcPr>
          <w:p w:rsidR="00C44870" w:rsidRPr="006E2AB9" w:rsidRDefault="00C44870" w:rsidP="00C448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MOSiR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– negatywnie. </w:t>
            </w:r>
            <w:r>
              <w:rPr>
                <w:rFonts w:ascii="Tahoma" w:hAnsi="Tahoma" w:cs="Tahoma"/>
                <w:sz w:val="18"/>
                <w:szCs w:val="18"/>
              </w:rPr>
              <w:t>Modernizację stadionu na potrzeby lekkiej atletyki należy rozpatrywać kompleksowo</w:t>
            </w:r>
            <w:r w:rsidR="008A07F1">
              <w:rPr>
                <w:rFonts w:ascii="Tahoma" w:hAnsi="Tahoma" w:cs="Tahoma"/>
                <w:sz w:val="18"/>
                <w:szCs w:val="18"/>
              </w:rPr>
              <w:t>, a to jest przedsięwzięcie znacznie przewyższające 500,000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44870" w:rsidRPr="00CF5072" w:rsidRDefault="00C44870" w:rsidP="00C448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44870" w:rsidRPr="00CF5072" w:rsidRDefault="00C44870" w:rsidP="00C448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</w:tbl>
    <w:p w:rsidR="008F2FEF" w:rsidRDefault="008F2FEF"/>
    <w:p w:rsidR="00430593" w:rsidRDefault="00430593" w:rsidP="00E848CF">
      <w:pPr>
        <w:ind w:left="708"/>
      </w:pPr>
    </w:p>
    <w:sectPr w:rsidR="00430593" w:rsidSect="00110AF9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29" w:rsidRDefault="004C0129" w:rsidP="00812A4A">
      <w:pPr>
        <w:spacing w:after="0" w:line="240" w:lineRule="auto"/>
      </w:pPr>
      <w:r>
        <w:separator/>
      </w:r>
    </w:p>
  </w:endnote>
  <w:endnote w:type="continuationSeparator" w:id="0">
    <w:p w:rsidR="004C0129" w:rsidRDefault="004C0129" w:rsidP="0081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91121"/>
      <w:docPartObj>
        <w:docPartGallery w:val="Page Numbers (Bottom of Page)"/>
        <w:docPartUnique/>
      </w:docPartObj>
    </w:sdtPr>
    <w:sdtContent>
      <w:p w:rsidR="006C11E4" w:rsidRDefault="00C469B8">
        <w:pPr>
          <w:pStyle w:val="Stopka"/>
          <w:jc w:val="right"/>
        </w:pPr>
        <w:r>
          <w:fldChar w:fldCharType="begin"/>
        </w:r>
        <w:r w:rsidR="000D784A">
          <w:instrText xml:space="preserve"> PAGE  \* Arabic  \* MERGEFORMAT </w:instrText>
        </w:r>
        <w:r>
          <w:fldChar w:fldCharType="separate"/>
        </w:r>
        <w:r w:rsidR="008A07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1E4" w:rsidRDefault="006C11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29" w:rsidRDefault="004C0129" w:rsidP="00812A4A">
      <w:pPr>
        <w:spacing w:after="0" w:line="240" w:lineRule="auto"/>
      </w:pPr>
      <w:r>
        <w:separator/>
      </w:r>
    </w:p>
  </w:footnote>
  <w:footnote w:type="continuationSeparator" w:id="0">
    <w:p w:rsidR="004C0129" w:rsidRDefault="004C0129" w:rsidP="0081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E4" w:rsidRDefault="006C11E4" w:rsidP="00812A4A">
    <w:pPr>
      <w:pStyle w:val="Nagwek"/>
      <w:jc w:val="center"/>
      <w:rPr>
        <w:rFonts w:ascii="Tahoma" w:hAnsi="Tahoma" w:cs="Tahoma"/>
        <w:b/>
        <w:sz w:val="24"/>
        <w:szCs w:val="24"/>
      </w:rPr>
    </w:pPr>
    <w:r w:rsidRPr="00812A4A">
      <w:rPr>
        <w:rFonts w:ascii="Tahoma" w:hAnsi="Tahoma" w:cs="Tahoma"/>
        <w:b/>
        <w:sz w:val="24"/>
        <w:szCs w:val="24"/>
      </w:rPr>
      <w:t>ZADANIA OGÓLNOMIEJSKIE</w:t>
    </w:r>
  </w:p>
  <w:p w:rsidR="00325B4D" w:rsidRPr="00812A4A" w:rsidRDefault="00325B4D" w:rsidP="00CF5072">
    <w:pPr>
      <w:pStyle w:val="Nagwek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Zaopiniowane </w:t>
    </w:r>
    <w:r w:rsidRPr="00CF5072">
      <w:rPr>
        <w:rFonts w:ascii="Tahoma" w:hAnsi="Tahoma" w:cs="Tahoma"/>
        <w:b/>
        <w:i/>
        <w:sz w:val="24"/>
        <w:szCs w:val="24"/>
      </w:rPr>
      <w:t>negatywnie</w:t>
    </w:r>
    <w:r>
      <w:rPr>
        <w:rFonts w:ascii="Tahoma" w:hAnsi="Tahoma" w:cs="Tahoma"/>
        <w:b/>
        <w:sz w:val="24"/>
        <w:szCs w:val="24"/>
      </w:rPr>
      <w:t xml:space="preserve"> (Departamenty/Referaty/jednostki organizacyjne)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7398"/>
    <w:multiLevelType w:val="hybridMultilevel"/>
    <w:tmpl w:val="BF56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0C3A"/>
    <w:multiLevelType w:val="hybridMultilevel"/>
    <w:tmpl w:val="6ACC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60F19"/>
    <w:multiLevelType w:val="hybridMultilevel"/>
    <w:tmpl w:val="EAD8FD9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60D46FBD"/>
    <w:multiLevelType w:val="hybridMultilevel"/>
    <w:tmpl w:val="DF92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A3637"/>
    <w:multiLevelType w:val="hybridMultilevel"/>
    <w:tmpl w:val="3BA0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2ED7"/>
    <w:rsid w:val="00033F01"/>
    <w:rsid w:val="00037991"/>
    <w:rsid w:val="000C7917"/>
    <w:rsid w:val="000D784A"/>
    <w:rsid w:val="000F3CE1"/>
    <w:rsid w:val="0010180F"/>
    <w:rsid w:val="00110AF9"/>
    <w:rsid w:val="00183AF3"/>
    <w:rsid w:val="001D786C"/>
    <w:rsid w:val="0025070E"/>
    <w:rsid w:val="002801F7"/>
    <w:rsid w:val="00293F45"/>
    <w:rsid w:val="00296608"/>
    <w:rsid w:val="002F7B2A"/>
    <w:rsid w:val="00325B4D"/>
    <w:rsid w:val="003424F5"/>
    <w:rsid w:val="00376005"/>
    <w:rsid w:val="003E14E8"/>
    <w:rsid w:val="00430593"/>
    <w:rsid w:val="00457389"/>
    <w:rsid w:val="004615BF"/>
    <w:rsid w:val="00464267"/>
    <w:rsid w:val="00470C66"/>
    <w:rsid w:val="004C0129"/>
    <w:rsid w:val="004C56B5"/>
    <w:rsid w:val="004F6ECA"/>
    <w:rsid w:val="0054619A"/>
    <w:rsid w:val="005B18F2"/>
    <w:rsid w:val="005C6C5D"/>
    <w:rsid w:val="005D13C7"/>
    <w:rsid w:val="00661667"/>
    <w:rsid w:val="0067417C"/>
    <w:rsid w:val="00691981"/>
    <w:rsid w:val="006A03F2"/>
    <w:rsid w:val="006C11E4"/>
    <w:rsid w:val="006E13F5"/>
    <w:rsid w:val="006E2AB9"/>
    <w:rsid w:val="007017F5"/>
    <w:rsid w:val="007D3B28"/>
    <w:rsid w:val="008078A2"/>
    <w:rsid w:val="00812A4A"/>
    <w:rsid w:val="0081518A"/>
    <w:rsid w:val="0083560E"/>
    <w:rsid w:val="00852077"/>
    <w:rsid w:val="008A07F1"/>
    <w:rsid w:val="008B5B74"/>
    <w:rsid w:val="008F2FEF"/>
    <w:rsid w:val="00912ED7"/>
    <w:rsid w:val="00920787"/>
    <w:rsid w:val="009C4C47"/>
    <w:rsid w:val="009D312E"/>
    <w:rsid w:val="009D5ED7"/>
    <w:rsid w:val="009F6FB8"/>
    <w:rsid w:val="00A3361D"/>
    <w:rsid w:val="00A737E5"/>
    <w:rsid w:val="00A76F30"/>
    <w:rsid w:val="00A82C71"/>
    <w:rsid w:val="00A91AFE"/>
    <w:rsid w:val="00B5220B"/>
    <w:rsid w:val="00B660F2"/>
    <w:rsid w:val="00B87C2C"/>
    <w:rsid w:val="00BC4049"/>
    <w:rsid w:val="00BC7733"/>
    <w:rsid w:val="00C44870"/>
    <w:rsid w:val="00C469B8"/>
    <w:rsid w:val="00CD4E45"/>
    <w:rsid w:val="00CD768F"/>
    <w:rsid w:val="00CF5072"/>
    <w:rsid w:val="00D00C71"/>
    <w:rsid w:val="00D12F90"/>
    <w:rsid w:val="00D26FC5"/>
    <w:rsid w:val="00D94E4E"/>
    <w:rsid w:val="00DA09FC"/>
    <w:rsid w:val="00E0789D"/>
    <w:rsid w:val="00E17799"/>
    <w:rsid w:val="00E35165"/>
    <w:rsid w:val="00E35CD8"/>
    <w:rsid w:val="00E53B7C"/>
    <w:rsid w:val="00E71F72"/>
    <w:rsid w:val="00E84446"/>
    <w:rsid w:val="00E848CF"/>
    <w:rsid w:val="00EB27DF"/>
    <w:rsid w:val="00EB3834"/>
    <w:rsid w:val="00ED1715"/>
    <w:rsid w:val="00EE47B1"/>
    <w:rsid w:val="00F9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A4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8A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8A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8A2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8A2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8A2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8A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8A2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8A2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8A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78A2"/>
    <w:rPr>
      <w:rFonts w:ascii="Cambria" w:hAnsi="Cambria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8078A2"/>
    <w:rPr>
      <w:rFonts w:ascii="Cambria" w:hAnsi="Cambria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8078A2"/>
    <w:rPr>
      <w:rFonts w:ascii="Cambria" w:hAnsi="Cambria"/>
      <w:b/>
      <w:bCs/>
    </w:rPr>
  </w:style>
  <w:style w:type="character" w:customStyle="1" w:styleId="Nagwek4Znak">
    <w:name w:val="Nagłówek 4 Znak"/>
    <w:link w:val="Nagwek4"/>
    <w:uiPriority w:val="9"/>
    <w:semiHidden/>
    <w:rsid w:val="008078A2"/>
    <w:rPr>
      <w:rFonts w:ascii="Cambria" w:hAnsi="Cambria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8078A2"/>
    <w:rPr>
      <w:rFonts w:ascii="Cambria" w:hAnsi="Cambria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8078A2"/>
    <w:rPr>
      <w:rFonts w:ascii="Cambria" w:hAnsi="Cambria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8078A2"/>
    <w:rPr>
      <w:rFonts w:ascii="Cambria" w:hAnsi="Cambria"/>
      <w:i/>
      <w:iCs/>
    </w:rPr>
  </w:style>
  <w:style w:type="character" w:customStyle="1" w:styleId="Nagwek8Znak">
    <w:name w:val="Nagłówek 8 Znak"/>
    <w:link w:val="Nagwek8"/>
    <w:uiPriority w:val="9"/>
    <w:semiHidden/>
    <w:rsid w:val="008078A2"/>
    <w:rPr>
      <w:rFonts w:ascii="Cambria" w:hAnsi="Cambria"/>
    </w:rPr>
  </w:style>
  <w:style w:type="character" w:customStyle="1" w:styleId="Nagwek9Znak">
    <w:name w:val="Nagłówek 9 Znak"/>
    <w:link w:val="Nagwek9"/>
    <w:uiPriority w:val="9"/>
    <w:semiHidden/>
    <w:rsid w:val="008078A2"/>
    <w:rPr>
      <w:rFonts w:ascii="Cambria" w:hAnsi="Cambria"/>
      <w:i/>
      <w:iC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8078A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8078A2"/>
    <w:rPr>
      <w:rFonts w:ascii="Cambria" w:hAnsi="Cambria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8A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8078A2"/>
    <w:rPr>
      <w:rFonts w:ascii="Cambria" w:hAnsi="Cambria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078A2"/>
    <w:rPr>
      <w:b/>
      <w:bCs/>
    </w:rPr>
  </w:style>
  <w:style w:type="character" w:styleId="Uwydatnienie">
    <w:name w:val="Emphasis"/>
    <w:uiPriority w:val="20"/>
    <w:qFormat/>
    <w:rsid w:val="008078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078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78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78A2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8078A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8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8078A2"/>
    <w:rPr>
      <w:b/>
      <w:bCs/>
      <w:i/>
      <w:iCs/>
    </w:rPr>
  </w:style>
  <w:style w:type="character" w:styleId="Wyrnieniedelikatne">
    <w:name w:val="Subtle Emphasis"/>
    <w:uiPriority w:val="19"/>
    <w:qFormat/>
    <w:rsid w:val="008078A2"/>
    <w:rPr>
      <w:i/>
      <w:iCs/>
    </w:rPr>
  </w:style>
  <w:style w:type="character" w:styleId="Wyrnienieintensywne">
    <w:name w:val="Intense Emphasis"/>
    <w:uiPriority w:val="21"/>
    <w:qFormat/>
    <w:rsid w:val="008078A2"/>
    <w:rPr>
      <w:b/>
      <w:bCs/>
    </w:rPr>
  </w:style>
  <w:style w:type="character" w:styleId="Odwoaniedelikatne">
    <w:name w:val="Subtle Reference"/>
    <w:uiPriority w:val="31"/>
    <w:qFormat/>
    <w:rsid w:val="008078A2"/>
    <w:rPr>
      <w:smallCaps/>
    </w:rPr>
  </w:style>
  <w:style w:type="character" w:styleId="Odwoanieintensywne">
    <w:name w:val="Intense Reference"/>
    <w:uiPriority w:val="32"/>
    <w:qFormat/>
    <w:rsid w:val="008078A2"/>
    <w:rPr>
      <w:smallCaps/>
      <w:spacing w:val="5"/>
      <w:u w:val="single"/>
    </w:rPr>
  </w:style>
  <w:style w:type="character" w:styleId="Tytuksiki">
    <w:name w:val="Book Title"/>
    <w:uiPriority w:val="33"/>
    <w:qFormat/>
    <w:rsid w:val="008078A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78A2"/>
    <w:pPr>
      <w:outlineLvl w:val="9"/>
    </w:pPr>
    <w:rPr>
      <w:lang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81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A4A"/>
    <w:rPr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A4A"/>
    <w:rPr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90"/>
    <w:rPr>
      <w:rFonts w:eastAsia="Calibri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A4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8A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8A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8A2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8A2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8A2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8A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8A2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8A2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8A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78A2"/>
    <w:rPr>
      <w:rFonts w:ascii="Cambria" w:hAnsi="Cambria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8078A2"/>
    <w:rPr>
      <w:rFonts w:ascii="Cambria" w:hAnsi="Cambria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8078A2"/>
    <w:rPr>
      <w:rFonts w:ascii="Cambria" w:hAnsi="Cambria"/>
      <w:b/>
      <w:bCs/>
    </w:rPr>
  </w:style>
  <w:style w:type="character" w:customStyle="1" w:styleId="Nagwek4Znak">
    <w:name w:val="Nagłówek 4 Znak"/>
    <w:link w:val="Nagwek4"/>
    <w:uiPriority w:val="9"/>
    <w:semiHidden/>
    <w:rsid w:val="008078A2"/>
    <w:rPr>
      <w:rFonts w:ascii="Cambria" w:hAnsi="Cambria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8078A2"/>
    <w:rPr>
      <w:rFonts w:ascii="Cambria" w:hAnsi="Cambria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8078A2"/>
    <w:rPr>
      <w:rFonts w:ascii="Cambria" w:hAnsi="Cambria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8078A2"/>
    <w:rPr>
      <w:rFonts w:ascii="Cambria" w:hAnsi="Cambria"/>
      <w:i/>
      <w:iCs/>
    </w:rPr>
  </w:style>
  <w:style w:type="character" w:customStyle="1" w:styleId="Nagwek8Znak">
    <w:name w:val="Nagłówek 8 Znak"/>
    <w:link w:val="Nagwek8"/>
    <w:uiPriority w:val="9"/>
    <w:semiHidden/>
    <w:rsid w:val="008078A2"/>
    <w:rPr>
      <w:rFonts w:ascii="Cambria" w:hAnsi="Cambria"/>
    </w:rPr>
  </w:style>
  <w:style w:type="character" w:customStyle="1" w:styleId="Nagwek9Znak">
    <w:name w:val="Nagłówek 9 Znak"/>
    <w:link w:val="Nagwek9"/>
    <w:uiPriority w:val="9"/>
    <w:semiHidden/>
    <w:rsid w:val="008078A2"/>
    <w:rPr>
      <w:rFonts w:ascii="Cambria" w:hAnsi="Cambria"/>
      <w:i/>
      <w:iC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8078A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8078A2"/>
    <w:rPr>
      <w:rFonts w:ascii="Cambria" w:hAnsi="Cambria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8A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8078A2"/>
    <w:rPr>
      <w:rFonts w:ascii="Cambria" w:hAnsi="Cambria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078A2"/>
    <w:rPr>
      <w:b/>
      <w:bCs/>
    </w:rPr>
  </w:style>
  <w:style w:type="character" w:styleId="Uwydatnienie">
    <w:name w:val="Emphasis"/>
    <w:uiPriority w:val="20"/>
    <w:qFormat/>
    <w:rsid w:val="008078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078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78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78A2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8078A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8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8078A2"/>
    <w:rPr>
      <w:b/>
      <w:bCs/>
      <w:i/>
      <w:iCs/>
    </w:rPr>
  </w:style>
  <w:style w:type="character" w:styleId="Wyrnieniedelikatne">
    <w:name w:val="Subtle Emphasis"/>
    <w:uiPriority w:val="19"/>
    <w:qFormat/>
    <w:rsid w:val="008078A2"/>
    <w:rPr>
      <w:i/>
      <w:iCs/>
    </w:rPr>
  </w:style>
  <w:style w:type="character" w:styleId="Wyrnienieintensywne">
    <w:name w:val="Intense Emphasis"/>
    <w:uiPriority w:val="21"/>
    <w:qFormat/>
    <w:rsid w:val="008078A2"/>
    <w:rPr>
      <w:b/>
      <w:bCs/>
    </w:rPr>
  </w:style>
  <w:style w:type="character" w:styleId="Odwoaniedelikatne">
    <w:name w:val="Subtle Reference"/>
    <w:uiPriority w:val="31"/>
    <w:qFormat/>
    <w:rsid w:val="008078A2"/>
    <w:rPr>
      <w:smallCaps/>
    </w:rPr>
  </w:style>
  <w:style w:type="character" w:styleId="Odwoanieintensywne">
    <w:name w:val="Intense Reference"/>
    <w:uiPriority w:val="32"/>
    <w:qFormat/>
    <w:rsid w:val="008078A2"/>
    <w:rPr>
      <w:smallCaps/>
      <w:spacing w:val="5"/>
      <w:u w:val="single"/>
    </w:rPr>
  </w:style>
  <w:style w:type="character" w:styleId="Tytuksiki">
    <w:name w:val="Book Title"/>
    <w:uiPriority w:val="33"/>
    <w:qFormat/>
    <w:rsid w:val="008078A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78A2"/>
    <w:pPr>
      <w:outlineLvl w:val="9"/>
    </w:pPr>
    <w:rPr>
      <w:lang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81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A4A"/>
    <w:rPr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A4A"/>
    <w:rPr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90"/>
    <w:rPr>
      <w:rFonts w:eastAsia="Calibri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385F-01BE-4D48-BAF2-0A11A4A6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Mazurkiewicz</dc:creator>
  <cp:keywords/>
  <dc:description/>
  <cp:lastModifiedBy>sybie</cp:lastModifiedBy>
  <cp:revision>6</cp:revision>
  <cp:lastPrinted>2017-09-08T14:36:00Z</cp:lastPrinted>
  <dcterms:created xsi:type="dcterms:W3CDTF">2017-09-13T12:18:00Z</dcterms:created>
  <dcterms:modified xsi:type="dcterms:W3CDTF">2017-09-15T10:44:00Z</dcterms:modified>
</cp:coreProperties>
</file>